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C8FC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/>
        </w:rPr>
        <w:t>知网资源</w:t>
      </w: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简易使用手册</w:t>
      </w:r>
    </w:p>
    <w:p w14:paraId="1FA526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中国知网是中国知识基础设施工程的简称，英文缩写为CNKI。CNKI是由教育部主管、清华大学主办、国家新闻出版总署批准成立，在党和国家领导以及教育部、中宣部、科技部、新闻出版总署、国家版权局、国家计委的大力支持下，在全国学术界、教育界、出版界、图书情报界等社会各界的努力下，建成了世界上全文信息量规模最大的“CNKI数字图书馆”，是以实现全社会信息资源共享为目标的国家出版重点工程，被国家科技部等五部委确定为“国家级重点新产品重中之重”项目。</w:t>
      </w:r>
    </w:p>
    <w:p w14:paraId="609411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一、在校园网环境内访问</w:t>
      </w:r>
    </w:p>
    <w:p w14:paraId="22742E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请使用校园网登陆中国知网的官方网站，网址为:https://www.cnki.net/，默认IP范围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内</w:t>
      </w:r>
      <w:r>
        <w:rPr>
          <w:rFonts w:hint="eastAsia" w:ascii="仿宋_GB2312" w:hAnsi="仿宋_GB2312" w:eastAsia="仿宋_GB2312" w:cs="仿宋_GB2312"/>
          <w:sz w:val="28"/>
          <w:szCs w:val="28"/>
        </w:rPr>
        <w:t>自动登录，无需账密。页面右上角出现郑州美术学院，即登录成功。登录后可免费下载学校订购的文献。（如未登录成功点击“机构登录”→“I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28"/>
          <w:szCs w:val="28"/>
        </w:rPr>
        <w:t>P登录”，即可登录。）</w:t>
      </w:r>
    </w:p>
    <w:p w14:paraId="0E6446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5278120" cy="2606040"/>
            <wp:effectExtent l="0" t="0" r="1016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422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二、文献检索</w:t>
      </w:r>
    </w:p>
    <w:p w14:paraId="3EDB84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常用检索方式：一框式检索、高级检索、作者发文检索、出版物检索。</w:t>
      </w:r>
    </w:p>
    <w:p w14:paraId="3BB745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1. </w:t>
      </w:r>
      <w:r>
        <w:rPr>
          <w:rFonts w:hint="eastAsia" w:ascii="仿宋_GB2312" w:hAnsi="仿宋_GB2312" w:eastAsia="仿宋_GB2312" w:cs="仿宋_GB2312"/>
          <w:sz w:val="28"/>
          <w:szCs w:val="28"/>
        </w:rPr>
        <w:t>一框式搜索</w:t>
      </w:r>
    </w:p>
    <w:p w14:paraId="1D6A56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确定检索范围→选择检索项→输入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关键</w:t>
      </w:r>
      <w:r>
        <w:rPr>
          <w:rFonts w:hint="eastAsia" w:ascii="仿宋_GB2312" w:hAnsi="仿宋_GB2312" w:eastAsia="仿宋_GB2312" w:cs="仿宋_GB2312"/>
          <w:sz w:val="28"/>
          <w:szCs w:val="28"/>
        </w:rPr>
        <w:t>词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 w14:paraId="0C2063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41290" cy="2592705"/>
            <wp:effectExtent l="0" t="0" r="1270" b="13335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8FB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2. </w:t>
      </w:r>
      <w:r>
        <w:rPr>
          <w:rFonts w:hint="eastAsia" w:ascii="仿宋_GB2312" w:hAnsi="仿宋_GB2312" w:eastAsia="仿宋_GB2312" w:cs="仿宋_GB2312"/>
          <w:sz w:val="28"/>
          <w:szCs w:val="28"/>
        </w:rPr>
        <w:t>高级检索</w:t>
      </w:r>
    </w:p>
    <w:p w14:paraId="3FC4F1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高级检索可实现多个检索条件间的逻辑匹配以达到更加精准的检索。选择检索范围→明确文献分类→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设置多个</w:t>
      </w:r>
      <w:r>
        <w:rPr>
          <w:rFonts w:hint="eastAsia" w:ascii="仿宋_GB2312" w:hAnsi="仿宋_GB2312" w:eastAsia="仿宋_GB2312" w:cs="仿宋_GB2312"/>
          <w:sz w:val="28"/>
          <w:szCs w:val="28"/>
        </w:rPr>
        <w:t>检索条件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 w14:paraId="4C003D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268595" cy="2696210"/>
            <wp:effectExtent l="0" t="0" r="4445" b="1270"/>
            <wp:docPr id="15" name="图片 1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A5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3. </w:t>
      </w:r>
      <w:r>
        <w:rPr>
          <w:rFonts w:hint="eastAsia" w:ascii="仿宋_GB2312" w:hAnsi="仿宋_GB2312" w:eastAsia="仿宋_GB2312" w:cs="仿宋_GB2312"/>
          <w:sz w:val="28"/>
          <w:szCs w:val="28"/>
        </w:rPr>
        <w:t>作者发文检索</w:t>
      </w:r>
    </w:p>
    <w:p w14:paraId="2EEA7F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作者发文检索通过输入作者姓名及其单位信息,检索某作者发表的文献。选择作者发文检索→输入作者名字和作者单位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 w14:paraId="456C7C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268595" cy="2640965"/>
            <wp:effectExtent l="0" t="0" r="4445" b="10795"/>
            <wp:docPr id="16" name="图片 1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CC2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4. </w:t>
      </w:r>
      <w:r>
        <w:rPr>
          <w:rFonts w:hint="eastAsia" w:ascii="仿宋_GB2312" w:hAnsi="仿宋_GB2312" w:eastAsia="仿宋_GB2312" w:cs="仿宋_GB2312"/>
          <w:sz w:val="28"/>
          <w:szCs w:val="28"/>
        </w:rPr>
        <w:t>出版物检索</w:t>
      </w:r>
    </w:p>
    <w:p w14:paraId="5872BE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出版物检索主要针对期刊、博硕士学位论文、会议、报纸等出版物的导航系统。选择出版来源导航→选择学科分类→输入检索词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 w14:paraId="7EA48F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/>
          <w:sz w:val="24"/>
          <w:szCs w:val="24"/>
        </w:rPr>
        <w:drawing>
          <wp:inline distT="0" distB="0" distL="114300" distR="114300">
            <wp:extent cx="5266690" cy="2853055"/>
            <wp:effectExtent l="0" t="0" r="6350" b="12065"/>
            <wp:docPr id="4" name="图片 4" descr="d1d3ab1ee0b232cf17692bb59e067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1d3ab1ee0b232cf17692bb59e0670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2AA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三、文献检索——检索结果</w:t>
      </w:r>
    </w:p>
    <w:p w14:paraId="117EA6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二维导航知识矩阵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28"/>
          <w:szCs w:val="28"/>
        </w:rPr>
        <w:t>横向资源类型区与纵向分组区形成知识服务矩阵，两者配合使用，可快速、有效地找到所需文章。</w:t>
      </w:r>
    </w:p>
    <w:p w14:paraId="38F663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横向展示所有资源类型文献，突显总库各资源的文献分布情况，可点击切换查看不同资源类型下的文献。</w:t>
      </w:r>
    </w:p>
    <w:p w14:paraId="717634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5273040" cy="3164840"/>
            <wp:effectExtent l="0" t="0" r="0" b="508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925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纵向为分组筛选区，提供多层面的筛选角度，并支持多个条件的组合筛选，以快速、精准地从检索结果中筛选出所需的优质文献。</w:t>
      </w:r>
    </w:p>
    <w:p w14:paraId="32C31E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例如</w:t>
      </w:r>
      <w:r>
        <w:rPr>
          <w:rFonts w:hint="eastAsia" w:ascii="仿宋_GB2312" w:hAnsi="仿宋_GB2312" w:eastAsia="仿宋_GB2312" w:cs="仿宋_GB2312"/>
          <w:sz w:val="28"/>
          <w:szCs w:val="28"/>
        </w:rPr>
        <w:t>通过检索精确检索范围→网络首发文献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 w14:paraId="43BA63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5292090" cy="2887980"/>
            <wp:effectExtent l="0" t="0" r="11430" b="76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AA9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</w:p>
    <w:p w14:paraId="6B7A7E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四、文献阅读——HTML阅读 </w:t>
      </w:r>
    </w:p>
    <w:p w14:paraId="1AF8F3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HTML阅读的页面为三栏结构，分别为目录结构、文献正文和参考文献。我们以“deepseek 图书馆”为关键词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搜索</w:t>
      </w:r>
      <w:r>
        <w:rPr>
          <w:rFonts w:hint="eastAsia" w:ascii="仿宋_GB2312" w:hAnsi="仿宋_GB2312" w:eastAsia="仿宋_GB2312" w:cs="仿宋_GB2312"/>
          <w:sz w:val="28"/>
          <w:szCs w:val="28"/>
        </w:rPr>
        <w:t>的一篇文章为例：</w:t>
      </w:r>
    </w:p>
    <w:p w14:paraId="0F81CE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5266055" cy="2581275"/>
            <wp:effectExtent l="0" t="0" r="698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983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目录结构展示了文献整体结构，点击章节名称，可实现内容的自动跳转定位，帮助读者快速了解文章概要和阅读重点内容。参考文献部分罗列了本文的全部参考文献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点击即可跳转到相应的文献知网节，帮助读者快速了解本文研究背景和依据。正文上方呈现的作者、机构等蓝色字体，点击即可跳转到相应的知网节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</w:rPr>
        <w:t>方便读者进行拓展阅读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 w14:paraId="1326E5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  <w:t>五、全球学术快报APP</w:t>
      </w:r>
    </w:p>
    <w:p w14:paraId="5FFAEA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全球学术快报APP在中国知网总库基本功能移动化的基础上，为用户提供文献检索、个性化推荐等功能。绑定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学校IP后</w:t>
      </w:r>
      <w:r>
        <w:rPr>
          <w:rFonts w:hint="eastAsia" w:ascii="仿宋_GB2312" w:hAnsi="仿宋_GB2312" w:eastAsia="仿宋_GB2312" w:cs="仿宋_GB2312"/>
          <w:sz w:val="28"/>
          <w:szCs w:val="28"/>
        </w:rPr>
        <w:t>，在校外也能享用已订购的知网资源，实现全球学术资源尽在“掌”握。</w:t>
      </w:r>
    </w:p>
    <w:p w14:paraId="41CE1C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1.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szCs w:val="28"/>
        </w:rPr>
        <w:t>手机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应用商店</w:t>
      </w:r>
      <w:r>
        <w:rPr>
          <w:rFonts w:hint="eastAsia" w:ascii="仿宋_GB2312" w:hAnsi="仿宋_GB2312" w:eastAsia="仿宋_GB2312" w:cs="仿宋_GB2312"/>
          <w:sz w:val="28"/>
          <w:szCs w:val="28"/>
        </w:rPr>
        <w:t>搜索下载“全球学术快报”APP。</w:t>
      </w:r>
    </w:p>
    <w:p w14:paraId="6F050D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2001520" cy="852170"/>
            <wp:effectExtent l="0" t="0" r="10160" b="1270"/>
            <wp:docPr id="2" name="图片 2" descr="e7046c4622444430ba219db3e1cbd2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7046c4622444430ba219db3e1cbd25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7A9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 注册个人账号。</w:t>
      </w:r>
    </w:p>
    <w:p w14:paraId="03C994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 开通漫游权限。在校园网环境内，点击“我的”</w:t>
      </w:r>
      <w:r>
        <w:rPr>
          <w:rFonts w:hint="eastAsia" w:ascii="仿宋_GB2312" w:hAnsi="仿宋_GB2312" w:eastAsia="仿宋_GB2312" w:cs="仿宋_GB2312"/>
          <w:sz w:val="28"/>
          <w:szCs w:val="28"/>
        </w:rPr>
        <w:t>→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“立即关联”</w:t>
      </w:r>
      <w:r>
        <w:rPr>
          <w:rFonts w:hint="eastAsia" w:ascii="仿宋_GB2312" w:hAnsi="仿宋_GB2312" w:eastAsia="仿宋_GB2312" w:cs="仿宋_GB2312"/>
          <w:sz w:val="28"/>
          <w:szCs w:val="28"/>
        </w:rPr>
        <w:t>→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“IP关联”，系统自动检测到本校</w:t>
      </w:r>
      <w:r>
        <w:rPr>
          <w:rFonts w:hint="eastAsia" w:ascii="仿宋_GB2312" w:hAnsi="仿宋_GB2312" w:eastAsia="仿宋_GB2312" w:cs="仿宋_GB2312"/>
          <w:sz w:val="28"/>
          <w:szCs w:val="28"/>
        </w:rPr>
        <w:t>→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点击“立即关联”。</w:t>
      </w:r>
      <w:r>
        <w:rPr>
          <w:rFonts w:hint="eastAsia" w:ascii="仿宋_GB2312" w:hAnsi="仿宋_GB2312" w:eastAsia="仿宋_GB2312" w:cs="仿宋_GB2312"/>
          <w:sz w:val="28"/>
          <w:szCs w:val="28"/>
        </w:rPr>
        <w:t>关联成功即可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实现校外漫游，</w:t>
      </w:r>
      <w:r>
        <w:rPr>
          <w:rFonts w:hint="eastAsia" w:ascii="仿宋_GB2312" w:hAnsi="仿宋_GB2312" w:eastAsia="仿宋_GB2312" w:cs="仿宋_GB2312"/>
          <w:sz w:val="28"/>
          <w:szCs w:val="28"/>
        </w:rPr>
        <w:t>免费浏览并获取文献全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文。每次IP关联可漫游使用15天，到期前可重新关联，寒暑假期间则可漫游2-3个月。</w:t>
      </w:r>
    </w:p>
    <w:p w14:paraId="3A9CBE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260975" cy="2089785"/>
            <wp:effectExtent l="0" t="0" r="12065" b="13335"/>
            <wp:docPr id="18" name="图片 18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未标题-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F54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4. </w:t>
      </w:r>
      <w:r>
        <w:rPr>
          <w:rFonts w:hint="eastAsia" w:ascii="仿宋_GB2312" w:hAnsi="仿宋_GB2312" w:eastAsia="仿宋_GB2312" w:cs="仿宋_GB2312"/>
          <w:sz w:val="28"/>
          <w:szCs w:val="28"/>
        </w:rPr>
        <w:t>使用帮助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点击“我的”→“关于全球学术快报”→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使用帮助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 w14:paraId="22AEDD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8"/>
          <w:sz w:val="19"/>
          <w:szCs w:val="19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六、中国精品文化期刊文献库</w:t>
      </w:r>
    </w:p>
    <w:p w14:paraId="2C855F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176520" cy="3056255"/>
            <wp:effectExtent l="0" t="0" r="5080" b="698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FA6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《中国精品文化期刊文献库》收录我国文化类精品期刊文献，对文献进行规范著录、标引和深度加工，以满足人们对精品文化期刊的阅读、欣赏、利用、评论、交流、保存等各方面的需求，是普及社会文化知识的网络平台。</w:t>
      </w:r>
    </w:p>
    <w:p w14:paraId="12E13A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 数据来源：我国正式出版发行的大众文化类期刊。</w:t>
      </w:r>
    </w:p>
    <w:p w14:paraId="17F626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 分类体系：根据文献内容设立修身养性、民风民俗、法制纵横、百姓焦点、历史人文、人才求职、居家生活、休闲广场、体育健身、家庭保健、寻医问药等11大栏目，100多个子栏目。</w:t>
      </w:r>
    </w:p>
    <w:p w14:paraId="6DAC8A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 登录方式：https://wenhua.cnki.net/index?sysid=19，</w:t>
      </w:r>
      <w:r>
        <w:rPr>
          <w:rFonts w:hint="eastAsia" w:ascii="仿宋_GB2312" w:hAnsi="仿宋_GB2312" w:eastAsia="仿宋_GB2312" w:cs="仿宋_GB2312"/>
          <w:sz w:val="28"/>
          <w:szCs w:val="28"/>
        </w:rPr>
        <w:t>默认IP范围自动登录，无需账密。</w:t>
      </w:r>
    </w:p>
    <w:p w14:paraId="2136A7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七、中国精品文艺期刊文献库</w:t>
      </w:r>
    </w:p>
    <w:p w14:paraId="5BB425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87645" cy="3119755"/>
            <wp:effectExtent l="0" t="0" r="635" b="444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A1B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《中国精品文艺作品期刊文献库》择优收录我国正式出版发行的文艺类期刊，以篇为单元收录其他期刊发表的同类文献，以集成化网络出版方式传播文艺作品的全文数据库。采用了适合于检索各类体裁的文艺作品的元数据框架。</w:t>
      </w:r>
    </w:p>
    <w:p w14:paraId="36C362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1. 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数据来源：文学、书画、摄影、影视等文艺类优秀期刊及其他刊物中的同类作品。</w:t>
      </w:r>
    </w:p>
    <w:p w14:paraId="5F6A1D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2. 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t>分类体系：按照文章体裁进行分类，分文艺理论、诗歌、戏剧文学、小说、散文、杂著、民间文学、儿童文学、少数民族文学、报告文学、音乐、舞蹈、戏剧、影视、书画篆刻、摄影、工艺美术17大类。</w:t>
      </w:r>
    </w:p>
    <w:p w14:paraId="71663F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3.登录方式：https://wenyi.cnki.net/index?sysid=20，</w:t>
      </w:r>
      <w:r>
        <w:rPr>
          <w:rFonts w:hint="eastAsia" w:ascii="仿宋_GB2312" w:hAnsi="仿宋_GB2312" w:eastAsia="仿宋_GB2312" w:cs="仿宋_GB2312"/>
          <w:sz w:val="28"/>
          <w:szCs w:val="28"/>
        </w:rPr>
        <w:t>默认IP范围自动登录，无需账密。</w:t>
      </w:r>
    </w:p>
    <w:p w14:paraId="091FB5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八、咨询服务</w:t>
      </w:r>
    </w:p>
    <w:p w14:paraId="647203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如需帮助，请联系图书馆管理人员，电话：62132656。</w:t>
      </w:r>
    </w:p>
    <w:p w14:paraId="60995B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九、版权声明</w:t>
      </w:r>
    </w:p>
    <w:p w14:paraId="7AEA38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请严格遵守《郑州美术学院图书馆数字资源使用管理办法 (试行) 》。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462139E-76CF-49E5-951A-7D6B8AC611C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92B9DC84-4098-4F82-B93D-DCE40751BCE0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8DE13BE6-D51D-4523-A76D-EF3F721730F0}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4" w:fontKey="{FA611EFE-7E59-49A7-93DE-FCF76808D9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441C81"/>
    <w:rsid w:val="04EB3546"/>
    <w:rsid w:val="08441C81"/>
    <w:rsid w:val="1FA96FEC"/>
    <w:rsid w:val="293211BB"/>
    <w:rsid w:val="38290F0A"/>
    <w:rsid w:val="3DC2196D"/>
    <w:rsid w:val="4F6B59C1"/>
    <w:rsid w:val="6367429A"/>
    <w:rsid w:val="6CDD4D14"/>
    <w:rsid w:val="701974B7"/>
    <w:rsid w:val="707A5DE5"/>
    <w:rsid w:val="78451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1810</Words>
  <Characters>1967</Characters>
  <Lines>0</Lines>
  <Paragraphs>0</Paragraphs>
  <TotalTime>0</TotalTime>
  <ScaleCrop>false</ScaleCrop>
  <LinksUpToDate>false</LinksUpToDate>
  <CharactersWithSpaces>1984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2025-02-20T09:48:00Z</dcterms:created>
  <dc:creator>李伟</dc:creator>
  <cp:lastModifiedBy>李伟</cp:lastModifiedBy>
  <dcterms:modified xsi:type="dcterms:W3CDTF">2025-02-21T04:38:16Z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215D891BABB74439B8EE18516AB476C1_11</vt:lpwstr>
  </property>
  <property fmtid="{D5CDD505-2E9C-101B-9397-08002B2CF9AE}" pid="4" name="KSOTemplateDocerSaveRecord">
    <vt:lpwstr>eyJoZGlkIjoiZDlmNTZjOTNhMDFiMjQ1OTVkMjY1ZTBiZjMyZDk1MjMiLCJ1c2VySWQiOiI0MDQ4MjYwODcifQ==</vt:lpwstr>
  </property>
</Properties>
</file>